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rFonts w:ascii="Arial" w:hAnsi="Arial"/>
          <w:b/>
          <w:color w:val="1B365D"/>
          <w:sz w:val="32"/>
        </w:rPr>
        <w:t>FEDERAL POLYTECHNIC EKOWE</w:t>
      </w:r>
    </w:p>
    <w:p>
      <w:pPr>
        <w:spacing w:after="40"/>
        <w:jc w:val="center"/>
      </w:pPr>
      <w:r>
        <w:rPr>
          <w:rFonts w:ascii="Arial" w:hAnsi="Arial"/>
          <w:b/>
          <w:color w:val="4A5568"/>
          <w:sz w:val="19"/>
        </w:rPr>
        <w:t>OFFICE OF THE REGISTRAR / INTERNAL MEMORANDUM</w:t>
      </w:r>
    </w:p>
    <w:p>
      <w:pPr>
        <w:spacing w:after="280"/>
        <w:jc w:val="center"/>
      </w:pPr>
      <w:r>
        <w:rPr>
          <w:rFonts w:ascii="Arial" w:hAnsi="Arial"/>
          <w:b/>
          <w:color w:val="1B365D"/>
          <w:sz w:val="26"/>
        </w:rPr>
        <w:t>INTERNAL MEMORANDUM</w:t>
      </w:r>
    </w:p>
    <w:tbl>
      <w:tblPr>
        <w:tblW w:type="auto" w:w="0"/>
        <w:jc w:val="center"/>
        <w:tblLook w:firstColumn="1" w:firstRow="1" w:lastColumn="0" w:lastRow="0" w:noHBand="0" w:noVBand="1" w:val="04A0"/>
        <w:tblBorders>
          <w:top w:val="single" w:sz="6" w:space="0" w:color="1B365D"/>
          <w:bottom w:val="single" w:sz="6" w:space="0" w:color="1B365D"/>
          <w:insideH w:val="single" w:sz="4" w:space="0" w:color="CBD5E0"/>
          <w:insideV w:val="none"/>
          <w:left w:val="none"/>
          <w:right w:val="none"/>
        </w:tblBorders>
      </w:tblPr>
      <w:tblGrid>
        <w:gridCol w:w="4968"/>
        <w:gridCol w:w="4968"/>
      </w:tblGrid>
      <w:tr>
        <w:tc>
          <w:tcPr>
            <w:tcW w:type="dxa" w:w="1728"/>
            <w:tcMar>
              <w:top w:w="80" w:type="dxa"/>
              <w:bottom w:w="80" w:type="dxa"/>
              <w:left w:w="100" w:type="dxa"/>
              <w:right w:w="100" w:type="dxa"/>
            </w:tcMar>
            <w:shd w:fill="F8FAFC"/>
          </w:tcPr>
          <w:p>
            <w:pPr>
              <w:spacing w:after="0"/>
            </w:pPr>
            <w:r>
              <w:rPr>
                <w:rFonts w:ascii="Arial" w:hAnsi="Arial"/>
                <w:b/>
                <w:color w:val="1B365D"/>
                <w:sz w:val="19"/>
              </w:rPr>
              <w:t>TO:</w:t>
            </w:r>
          </w:p>
        </w:tc>
        <w:tc>
          <w:tcPr>
            <w:tcW w:type="dxa" w:w="8208"/>
            <w:tcMar>
              <w:top w:w="80" w:type="dxa"/>
              <w:bottom w:w="80" w:type="dxa"/>
              <w:left w:w="100" w:type="dxa"/>
              <w:right w:w="100" w:type="dxa"/>
            </w:tcMar>
          </w:tcPr>
          <w:p>
            <w:pPr>
              <w:spacing w:after="0"/>
            </w:pPr>
            <w:r>
              <w:rPr>
                <w:rFonts w:ascii="Arial" w:hAnsi="Arial"/>
                <w:b/>
                <w:color w:val="2D3748"/>
                <w:sz w:val="19"/>
              </w:rPr>
              <w:t>All Deans of Faculty, Directors, and Heads of Department (HODs)</w:t>
            </w:r>
          </w:p>
        </w:tc>
      </w:tr>
      <w:tr>
        <w:tc>
          <w:tcPr>
            <w:tcW w:type="dxa" w:w="1728"/>
            <w:tcMar>
              <w:top w:w="80" w:type="dxa"/>
              <w:bottom w:w="80" w:type="dxa"/>
              <w:left w:w="100" w:type="dxa"/>
              <w:right w:w="100" w:type="dxa"/>
            </w:tcMar>
            <w:shd w:fill="F8FAFC"/>
          </w:tcPr>
          <w:p>
            <w:pPr>
              <w:spacing w:after="0"/>
            </w:pPr>
            <w:r>
              <w:rPr>
                <w:rFonts w:ascii="Arial" w:hAnsi="Arial"/>
                <w:b/>
                <w:color w:val="1B365D"/>
                <w:sz w:val="19"/>
              </w:rPr>
              <w:t>FROM:</w:t>
            </w:r>
          </w:p>
        </w:tc>
        <w:tc>
          <w:tcPr>
            <w:tcW w:type="dxa" w:w="8208"/>
            <w:tcMar>
              <w:top w:w="80" w:type="dxa"/>
              <w:bottom w:w="80" w:type="dxa"/>
              <w:left w:w="100" w:type="dxa"/>
              <w:right w:w="100" w:type="dxa"/>
            </w:tcMar>
          </w:tcPr>
          <w:p>
            <w:pPr>
              <w:spacing w:after="0"/>
            </w:pPr>
            <w:r>
              <w:rPr>
                <w:rFonts w:ascii="Arial" w:hAnsi="Arial"/>
                <w:b/>
                <w:color w:val="2D3748"/>
                <w:sz w:val="19"/>
              </w:rPr>
              <w:t>The Registrar</w:t>
            </w:r>
          </w:p>
        </w:tc>
      </w:tr>
      <w:tr>
        <w:tc>
          <w:tcPr>
            <w:tcW w:type="dxa" w:w="1728"/>
            <w:tcMar>
              <w:top w:w="80" w:type="dxa"/>
              <w:bottom w:w="80" w:type="dxa"/>
              <w:left w:w="100" w:type="dxa"/>
              <w:right w:w="100" w:type="dxa"/>
            </w:tcMar>
            <w:shd w:fill="F8FAFC"/>
          </w:tcPr>
          <w:p>
            <w:pPr>
              <w:spacing w:after="0"/>
            </w:pPr>
            <w:r>
              <w:rPr>
                <w:rFonts w:ascii="Arial" w:hAnsi="Arial"/>
                <w:b/>
                <w:color w:val="1B365D"/>
                <w:sz w:val="19"/>
              </w:rPr>
              <w:t>REF NO:</w:t>
            </w:r>
          </w:p>
        </w:tc>
        <w:tc>
          <w:tcPr>
            <w:tcW w:type="dxa" w:w="8208"/>
            <w:tcMar>
              <w:top w:w="80" w:type="dxa"/>
              <w:bottom w:w="80" w:type="dxa"/>
              <w:left w:w="100" w:type="dxa"/>
              <w:right w:w="100" w:type="dxa"/>
            </w:tcMar>
          </w:tcPr>
          <w:p>
            <w:pPr>
              <w:spacing w:after="0"/>
            </w:pPr>
            <w:r>
              <w:rPr>
                <w:rFonts w:ascii="Arial" w:hAnsi="Arial"/>
                <w:color w:val="2D3748"/>
                <w:sz w:val="19"/>
              </w:rPr>
              <w:t>FPE/REG/ADM/MEMO/VOL.IV/2026/082</w:t>
            </w:r>
          </w:p>
        </w:tc>
      </w:tr>
      <w:tr>
        <w:tc>
          <w:tcPr>
            <w:tcW w:type="dxa" w:w="1728"/>
            <w:tcMar>
              <w:top w:w="80" w:type="dxa"/>
              <w:bottom w:w="80" w:type="dxa"/>
              <w:left w:w="100" w:type="dxa"/>
              <w:right w:w="100" w:type="dxa"/>
            </w:tcMar>
            <w:shd w:fill="F8FAFC"/>
          </w:tcPr>
          <w:p>
            <w:pPr>
              <w:spacing w:after="0"/>
            </w:pPr>
            <w:r>
              <w:rPr>
                <w:rFonts w:ascii="Arial" w:hAnsi="Arial"/>
                <w:b/>
                <w:color w:val="1B365D"/>
                <w:sz w:val="19"/>
              </w:rPr>
              <w:t>DATE:</w:t>
            </w:r>
          </w:p>
        </w:tc>
        <w:tc>
          <w:tcPr>
            <w:tcW w:type="dxa" w:w="8208"/>
            <w:tcMar>
              <w:top w:w="80" w:type="dxa"/>
              <w:bottom w:w="80" w:type="dxa"/>
              <w:left w:w="100" w:type="dxa"/>
              <w:right w:w="100" w:type="dxa"/>
            </w:tcMar>
          </w:tcPr>
          <w:p>
            <w:pPr>
              <w:spacing w:after="0"/>
            </w:pPr>
            <w:r>
              <w:rPr>
                <w:rFonts w:ascii="Arial" w:hAnsi="Arial"/>
                <w:color w:val="2D3748"/>
                <w:sz w:val="19"/>
              </w:rPr>
              <w:t>11th August, 2026</w:t>
            </w:r>
          </w:p>
        </w:tc>
      </w:tr>
    </w:tbl>
    <w:p>
      <w:pPr>
        <w:spacing w:before="280" w:after="200"/>
      </w:pPr>
      <w:r>
        <w:rPr>
          <w:rFonts w:ascii="Arial" w:hAnsi="Arial"/>
          <w:b/>
          <w:color w:val="1B365D"/>
          <w:sz w:val="22"/>
        </w:rPr>
        <w:t xml:space="preserve">SUBJECT: </w:t>
      </w:r>
      <w:r>
        <w:rPr>
          <w:rFonts w:ascii="Arial" w:hAnsi="Arial"/>
          <w:b/>
          <w:color w:val="1B365D"/>
          <w:sz w:val="22"/>
          <w:u w:val="single"/>
        </w:rPr>
        <w:t>SUBMISSION OF DEPARTMENTAL SCORE SHEETS AND ACADEMIC AUDIT FOR THE FORTHCOMING SESSION</w:t>
      </w:r>
    </w:p>
    <w:p>
      <w:pPr>
        <w:spacing w:after="120" w:line="276" w:lineRule="auto"/>
      </w:pPr>
      <w:r>
        <w:rPr>
          <w:rFonts w:ascii="Arial" w:hAnsi="Arial"/>
          <w:color w:val="2D3748"/>
          <w:sz w:val="20"/>
        </w:rPr>
        <w:t>This is to bring to the attention of all Deans of Faculty, Academic Directors, and Heads of Department that the Academic Board has scheduled its statutory result consideration and review meeting for the concluding semester.</w:t>
      </w:r>
    </w:p>
    <w:p>
      <w:pPr>
        <w:spacing w:after="120" w:line="276" w:lineRule="auto"/>
      </w:pPr>
      <w:r>
        <w:rPr>
          <w:rFonts w:ascii="Arial" w:hAnsi="Arial"/>
          <w:color w:val="2D3748"/>
          <w:sz w:val="20"/>
        </w:rPr>
        <w:t>In light of this, all Academic Departments are hereby directed to expedite the marking, collation, and vetting of examination scripts, and ensure that all continuous assessment (C.A.) scores and raw examination mark sheets are fully uploaded onto the institutional portal on or before Friday, 28th August, 2026.</w:t>
      </w:r>
    </w:p>
    <w:p>
      <w:pPr>
        <w:spacing w:after="120" w:line="276" w:lineRule="auto"/>
      </w:pPr>
      <w:r>
        <w:rPr>
          <w:rFonts w:ascii="Arial" w:hAnsi="Arial"/>
          <w:color w:val="2D3748"/>
          <w:sz w:val="20"/>
        </w:rPr>
        <w:t>Please take note of the following compliance requirements:</w:t>
      </w:r>
    </w:p>
    <w:p>
      <w:pPr>
        <w:spacing w:after="80" w:line="276" w:lineRule="auto"/>
        <w:ind w:left="360"/>
      </w:pPr>
      <w:r>
        <w:rPr>
          <w:rFonts w:ascii="Arial" w:hAnsi="Arial"/>
          <w:b/>
          <w:color w:val="1B365D"/>
          <w:sz w:val="19"/>
        </w:rPr>
        <w:t>1. Portal Uploads:</w:t>
      </w:r>
      <w:r>
        <w:rPr>
          <w:rFonts w:ascii="Arial" w:hAnsi="Arial"/>
          <w:color w:val="2D3748"/>
          <w:sz w:val="19"/>
        </w:rPr>
        <w:t xml:space="preserve"> All course advisers and lecturers must ensure error-free data entry and cross-verification against physical attendance registers.</w:t>
      </w:r>
    </w:p>
    <w:p>
      <w:pPr>
        <w:spacing w:after="80" w:line="276" w:lineRule="auto"/>
        <w:ind w:left="360"/>
      </w:pPr>
      <w:r>
        <w:rPr>
          <w:rFonts w:ascii="Arial" w:hAnsi="Arial"/>
          <w:b/>
          <w:color w:val="1B365D"/>
          <w:sz w:val="19"/>
        </w:rPr>
        <w:t>2. Faculty Board Review:</w:t>
      </w:r>
      <w:r>
        <w:rPr>
          <w:rFonts w:ascii="Arial" w:hAnsi="Arial"/>
          <w:color w:val="2D3748"/>
          <w:sz w:val="19"/>
        </w:rPr>
        <w:t xml:space="preserve"> Faculty Boards must convene between Monday, 31st August and Wednesday, 2nd September, 2026, to consider departmental returns prior to board presentation.</w:t>
      </w:r>
    </w:p>
    <w:p>
      <w:pPr>
        <w:spacing w:after="80" w:line="276" w:lineRule="auto"/>
        <w:ind w:left="360"/>
      </w:pPr>
      <w:r>
        <w:rPr>
          <w:rFonts w:ascii="Arial" w:hAnsi="Arial"/>
          <w:b/>
          <w:color w:val="1B365D"/>
          <w:sz w:val="19"/>
        </w:rPr>
        <w:t>3. Hard Copy Submissions:</w:t>
      </w:r>
      <w:r>
        <w:rPr>
          <w:rFonts w:ascii="Arial" w:hAnsi="Arial"/>
          <w:color w:val="2D3748"/>
          <w:sz w:val="19"/>
        </w:rPr>
        <w:t xml:space="preserve"> Four (4) endorsed copies of vetted results signed by the Departmental Exam Officer, HOD, and Dean must be submitted to the Directorate of Academic Planning.</w:t>
      </w:r>
    </w:p>
    <w:p>
      <w:pPr>
        <w:spacing w:before="120" w:after="320" w:line="276" w:lineRule="auto"/>
      </w:pPr>
      <w:r>
        <w:rPr>
          <w:rFonts w:ascii="Arial" w:hAnsi="Arial"/>
          <w:color w:val="2D3748"/>
          <w:sz w:val="20"/>
        </w:rPr>
        <w:t>Strict adherence to the aforementioned schedule is required to facilitate timely preparation of academic transcripts and smooth commencement of the next academic term.</w:t>
      </w:r>
    </w:p>
    <w:p>
      <w:pPr>
        <w:spacing w:before="240" w:after="40"/>
      </w:pPr>
      <w:r>
        <w:rPr>
          <w:rFonts w:ascii="Arial" w:hAnsi="Arial"/>
          <w:b/>
          <w:color w:val="1B365D"/>
          <w:sz w:val="20"/>
        </w:rPr>
        <w:t>Signed:</w:t>
      </w:r>
    </w:p>
    <w:p>
      <w:pPr>
        <w:spacing w:after="40"/>
      </w:pPr>
      <w:r>
        <w:rPr>
          <w:rFonts w:ascii="Arial" w:hAnsi="Arial"/>
          <w:b/>
          <w:color w:val="2D3748"/>
          <w:sz w:val="20"/>
        </w:rPr>
        <w:t>_____________________________</w:t>
        <w:br/>
        <w:t>Registrar</w:t>
      </w:r>
    </w:p>
    <w:p>
      <w:pPr>
        <w:spacing w:after="280"/>
      </w:pPr>
      <w:r>
        <w:rPr>
          <w:rFonts w:ascii="Arial" w:hAnsi="Arial"/>
          <w:i/>
          <w:color w:val="4A5568"/>
          <w:sz w:val="19"/>
        </w:rPr>
        <w:t>Federal Polytechnic Ekowe</w:t>
      </w:r>
    </w:p>
    <w:tbl>
      <w:tblPr>
        <w:tblW w:type="auto" w:w="0"/>
        <w:jc w:val="center"/>
        <w:tblLook w:firstColumn="1" w:firstRow="1" w:lastColumn="0" w:lastRow="0" w:noHBand="0" w:noVBand="1" w:val="04A0"/>
      </w:tblPr>
      <w:tblGrid>
        <w:gridCol w:w="9936"/>
      </w:tblGrid>
      <w:tr>
        <w:tc>
          <w:tcPr>
            <w:tcW w:type="dxa" w:w="9936"/>
            <w:shd w:fill="F8FAFC"/>
            <w:tcMar>
              <w:top w:w="80" w:type="dxa"/>
              <w:bottom w:w="80" w:type="dxa"/>
              <w:left w:w="120" w:type="dxa"/>
              <w:right w:w="120" w:type="dxa"/>
            </w:tcMar>
            <w:tcBorders>
              <w:left w:val="single" w:sz="18" w:space="0" w:color="1B365D"/>
              <w:top w:val="none"/>
              <w:right w:val="none"/>
              <w:bottom w:val="none"/>
            </w:tcBorders>
          </w:tcPr>
          <w:p>
            <w:pPr>
              <w:spacing w:after="40"/>
            </w:pPr>
            <w:r>
              <w:rPr>
                <w:rFonts w:ascii="Arial" w:hAnsi="Arial"/>
                <w:b/>
                <w:color w:val="1B365D"/>
                <w:sz w:val="17"/>
              </w:rPr>
              <w:t>Copy to (cc):</w:t>
            </w:r>
          </w:p>
          <w:p>
            <w:pPr>
              <w:spacing w:after="20"/>
            </w:pPr>
            <w:r>
              <w:rPr>
                <w:color w:val="1B365D"/>
                <w:sz w:val="17"/>
              </w:rPr>
              <w:t xml:space="preserve">• </w:t>
            </w:r>
            <w:r>
              <w:rPr>
                <w:rFonts w:ascii="Arial" w:hAnsi="Arial"/>
                <w:color w:val="2D3748"/>
                <w:sz w:val="17"/>
              </w:rPr>
              <w:t>The Rector</w:t>
            </w:r>
          </w:p>
          <w:p>
            <w:pPr>
              <w:spacing w:after="20"/>
            </w:pPr>
            <w:r>
              <w:rPr>
                <w:color w:val="1B365D"/>
                <w:sz w:val="17"/>
              </w:rPr>
              <w:t xml:space="preserve">• </w:t>
            </w:r>
            <w:r>
              <w:rPr>
                <w:rFonts w:ascii="Arial" w:hAnsi="Arial"/>
                <w:color w:val="2D3748"/>
                <w:sz w:val="17"/>
              </w:rPr>
              <w:t>Deputy Rector (Academic / Admin)</w:t>
            </w:r>
          </w:p>
          <w:p>
            <w:pPr>
              <w:spacing w:after="20"/>
            </w:pPr>
            <w:r>
              <w:rPr>
                <w:color w:val="1B365D"/>
                <w:sz w:val="17"/>
              </w:rPr>
              <w:t xml:space="preserve">• </w:t>
            </w:r>
            <w:r>
              <w:rPr>
                <w:rFonts w:ascii="Arial" w:hAnsi="Arial"/>
                <w:color w:val="2D3748"/>
                <w:sz w:val="17"/>
              </w:rPr>
              <w:t>Director, Academic Planning</w:t>
            </w:r>
          </w:p>
          <w:p>
            <w:pPr>
              <w:spacing w:after="20"/>
            </w:pPr>
            <w:r>
              <w:rPr>
                <w:color w:val="1B365D"/>
                <w:sz w:val="17"/>
              </w:rPr>
              <w:t xml:space="preserve">• </w:t>
            </w:r>
            <w:r>
              <w:rPr>
                <w:rFonts w:ascii="Arial" w:hAnsi="Arial"/>
                <w:color w:val="2D3748"/>
                <w:sz w:val="17"/>
              </w:rPr>
              <w:t>Notice Boards / File</w:t>
            </w:r>
          </w:p>
        </w:tc>
      </w:tr>
    </w:tbl>
    <w:sectPr w:rsidR="00FC693F" w:rsidRPr="0006063C" w:rsidSect="00034616">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